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49F91">
      <w:pPr>
        <w:pStyle w:val="2"/>
        <w:jc w:val="right"/>
        <w:rPr>
          <w:rFonts w:ascii="Times New Roman" w:hAnsi="Times New Roman" w:eastAsia="宋体"/>
          <w:lang w:bidi="th-TH"/>
        </w:rPr>
      </w:pPr>
      <w:bookmarkStart w:id="0" w:name="_Toc45013853"/>
      <w:r>
        <w:rPr>
          <w:rFonts w:ascii="Times New Roman" w:hAnsi="宋体" w:eastAsia="宋体"/>
          <w:lang w:bidi="th-TH"/>
        </w:rPr>
        <w:t>文件编号：</w:t>
      </w:r>
      <w:r>
        <w:rPr>
          <w:rFonts w:ascii="Times New Roman" w:hAnsi="Times New Roman"/>
          <w:lang w:bidi="th-TH"/>
        </w:rPr>
        <w:t>AF-</w:t>
      </w:r>
      <w:r>
        <w:rPr>
          <w:rFonts w:hint="eastAsia" w:ascii="Times New Roman" w:hAnsi="Times New Roman" w:eastAsia="宋体"/>
          <w:lang w:bidi="th-TH"/>
        </w:rPr>
        <w:t>49</w:t>
      </w:r>
      <w:r>
        <w:rPr>
          <w:rFonts w:ascii="Times New Roman" w:hAnsi="Times New Roman"/>
          <w:lang w:bidi="th-TH"/>
        </w:rPr>
        <w:t>/</w:t>
      </w:r>
      <w:r>
        <w:rPr>
          <w:rFonts w:hint="eastAsia" w:ascii="Times New Roman" w:hAnsi="Times New Roman" w:eastAsia="宋体"/>
          <w:lang w:bidi="th-TH"/>
        </w:rPr>
        <w:t>06.</w:t>
      </w:r>
      <w:bookmarkEnd w:id="0"/>
      <w:r>
        <w:rPr>
          <w:rFonts w:hint="eastAsia" w:ascii="Times New Roman" w:hAnsi="Times New Roman" w:eastAsia="宋体"/>
          <w:lang w:bidi="th-TH"/>
        </w:rPr>
        <w:t>4</w:t>
      </w:r>
    </w:p>
    <w:p w14:paraId="54DA63F4">
      <w:pPr>
        <w:jc w:val="right"/>
        <w:rPr>
          <w:lang w:bidi="th-TH"/>
        </w:rPr>
      </w:pPr>
      <w:r>
        <w:rPr>
          <w:rFonts w:hint="eastAsia"/>
          <w:bCs/>
          <w:sz w:val="24"/>
          <w:szCs w:val="32"/>
        </w:rPr>
        <w:t>版本日期：</w:t>
      </w:r>
      <w:r>
        <w:rPr>
          <w:sz w:val="24"/>
          <w:szCs w:val="24"/>
        </w:rPr>
        <w:t>202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05</w:t>
      </w:r>
      <w:r>
        <w:rPr>
          <w:sz w:val="24"/>
          <w:szCs w:val="24"/>
        </w:rPr>
        <w:t>-01</w:t>
      </w:r>
    </w:p>
    <w:p w14:paraId="10BB3A58">
      <w:pPr>
        <w:pStyle w:val="4"/>
        <w:spacing w:line="520" w:lineRule="exact"/>
        <w:jc w:val="center"/>
        <w:rPr>
          <w:rFonts w:ascii="宋体" w:hAnsi="宋体"/>
          <w:b/>
          <w:sz w:val="30"/>
          <w:szCs w:val="30"/>
          <w:lang w:eastAsia="zh-CN"/>
        </w:rPr>
      </w:pPr>
      <w:commentRangeStart w:id="0"/>
      <w:bookmarkStart w:id="1" w:name="_GoBack"/>
      <w:bookmarkEnd w:id="1"/>
      <w:r>
        <w:rPr>
          <w:rFonts w:ascii="宋体" w:hAnsi="宋体"/>
          <w:b/>
          <w:sz w:val="30"/>
          <w:szCs w:val="30"/>
          <w:lang w:eastAsia="zh-CN"/>
        </w:rPr>
        <w:t>徐州医科大学附属医院</w:t>
      </w:r>
      <w:r>
        <w:rPr>
          <w:rFonts w:hint="eastAsia" w:ascii="宋体" w:hAnsi="宋体"/>
          <w:b/>
          <w:sz w:val="30"/>
          <w:szCs w:val="30"/>
          <w:lang w:eastAsia="zh-CN"/>
        </w:rPr>
        <w:t>医学</w:t>
      </w:r>
      <w:r>
        <w:rPr>
          <w:rFonts w:ascii="宋体" w:hAnsi="宋体"/>
          <w:b/>
          <w:sz w:val="30"/>
          <w:szCs w:val="30"/>
          <w:lang w:eastAsia="zh-CN"/>
        </w:rPr>
        <w:t>伦理委员会</w:t>
      </w:r>
    </w:p>
    <w:p w14:paraId="5CF3474F">
      <w:pPr>
        <w:spacing w:line="52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科研立项项目审查</w:t>
      </w:r>
      <w:r>
        <w:rPr>
          <w:rFonts w:hint="eastAsia" w:ascii="宋体" w:hAnsi="宋体"/>
          <w:b/>
          <w:bCs/>
          <w:sz w:val="30"/>
          <w:szCs w:val="30"/>
        </w:rPr>
        <w:t>研究方案</w:t>
      </w:r>
      <w:r>
        <w:rPr>
          <w:rFonts w:ascii="宋体" w:hAnsi="宋体"/>
          <w:b/>
          <w:bCs/>
          <w:sz w:val="30"/>
          <w:szCs w:val="30"/>
        </w:rPr>
        <w:t>主审表</w:t>
      </w:r>
    </w:p>
    <w:commentRangeEnd w:id="0"/>
    <w:tbl>
      <w:tblPr>
        <w:tblStyle w:val="10"/>
        <w:tblpPr w:leftFromText="180" w:rightFromText="180" w:vertAnchor="text" w:horzAnchor="margin" w:tblpY="158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42"/>
        <w:gridCol w:w="6293"/>
      </w:tblGrid>
      <w:tr w14:paraId="7DDF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235" w:type="dxa"/>
            <w:gridSpan w:val="2"/>
          </w:tcPr>
          <w:p w14:paraId="21C764A7">
            <w:pPr>
              <w:spacing w:line="360" w:lineRule="auto"/>
              <w:rPr>
                <w:rFonts w:ascii="宋体" w:hAnsi="宋体"/>
                <w:bCs/>
                <w:szCs w:val="21"/>
              </w:rPr>
            </w:pPr>
            <w:r>
              <w:rPr>
                <w:rStyle w:val="12"/>
              </w:rPr>
              <w:commentReference w:id="0"/>
            </w: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6293" w:type="dxa"/>
            <w:vAlign w:val="center"/>
          </w:tcPr>
          <w:p w14:paraId="61130B85">
            <w:pPr>
              <w:rPr>
                <w:rFonts w:ascii="宋体" w:hAnsi="宋体"/>
                <w:szCs w:val="21"/>
              </w:rPr>
            </w:pPr>
          </w:p>
        </w:tc>
      </w:tr>
      <w:tr w14:paraId="76E13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35" w:type="dxa"/>
            <w:gridSpan w:val="2"/>
          </w:tcPr>
          <w:p w14:paraId="5445D0CB">
            <w:pPr>
              <w:spacing w:line="360" w:lineRule="auto"/>
              <w:rPr>
                <w:rFonts w:ascii="宋体" w:hAnsi="宋体"/>
                <w:szCs w:val="21"/>
              </w:rPr>
            </w:pPr>
            <w:commentRangeStart w:id="1"/>
            <w:r>
              <w:rPr>
                <w:rFonts w:hint="eastAsia" w:ascii="宋体" w:hAnsi="宋体"/>
                <w:szCs w:val="21"/>
              </w:rPr>
              <w:t>负责人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研究科室</w:t>
            </w:r>
            <w:commentRangeEnd w:id="1"/>
            <w:r>
              <w:rPr>
                <w:rStyle w:val="12"/>
              </w:rPr>
              <w:commentReference w:id="1"/>
            </w:r>
          </w:p>
        </w:tc>
        <w:tc>
          <w:tcPr>
            <w:tcW w:w="6293" w:type="dxa"/>
            <w:vAlign w:val="center"/>
          </w:tcPr>
          <w:p w14:paraId="12C92F67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14:paraId="1C569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8528" w:type="dxa"/>
            <w:gridSpan w:val="3"/>
          </w:tcPr>
          <w:p w14:paraId="4BA823FB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一、研究的依据与设计</w:t>
            </w:r>
          </w:p>
          <w:p w14:paraId="6E6C08FC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．有效性研究设计的依据是否充分：口是，口否</w:t>
            </w:r>
          </w:p>
          <w:p w14:paraId="11A32AD3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．安全研究设计的依据充分：口是，口否</w:t>
            </w:r>
          </w:p>
          <w:p w14:paraId="2B3220B2">
            <w:pPr>
              <w:pStyle w:val="19"/>
              <w:tabs>
                <w:tab w:val="left" w:pos="5475"/>
              </w:tabs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．研究目的是否明确：口是，口否</w:t>
            </w:r>
            <w:r>
              <w:rPr>
                <w:rFonts w:ascii="宋体" w:hAnsi="宋体"/>
                <w:szCs w:val="21"/>
              </w:rPr>
              <w:tab/>
            </w:r>
          </w:p>
          <w:p w14:paraId="5FD7782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．研究设计类型与原则是否合理：口是，口否</w:t>
            </w:r>
          </w:p>
        </w:tc>
      </w:tr>
      <w:tr w14:paraId="69A1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28E7C7C0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二、研究条件</w:t>
            </w:r>
          </w:p>
          <w:p w14:paraId="220D43ED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．研究者有相应专业技术工作经验，有充分的时间和精力参加临床研究：口是，口否</w:t>
            </w:r>
          </w:p>
          <w:p w14:paraId="64EEC8BD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．研究团队能够承担研究任务的需要，研究人员组成包括主要研究者，研究者，研究助理，研究护士等：口是，口否</w:t>
            </w:r>
          </w:p>
          <w:p w14:paraId="5911E88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．研究场所、仪器设备能够满足研究任务的需要：口是，口否</w:t>
            </w:r>
          </w:p>
        </w:tc>
      </w:tr>
      <w:tr w14:paraId="31D74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06A598EB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三、研究的风险与受益</w:t>
            </w:r>
          </w:p>
          <w:p w14:paraId="39DCC95A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．研究风险的级别</w:t>
            </w:r>
          </w:p>
          <w:p w14:paraId="030AA568"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研究风险为最小风险：口是，口否</w:t>
            </w:r>
          </w:p>
          <w:p w14:paraId="7B95759C"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研究风险大于最小风险</w:t>
            </w:r>
            <w:r>
              <w:rPr>
                <w:rStyle w:val="13"/>
                <w:rFonts w:ascii="宋体" w:hAnsi="宋体"/>
                <w:szCs w:val="21"/>
              </w:rPr>
              <w:footnoteReference w:id="0"/>
            </w:r>
            <w:r>
              <w:rPr>
                <w:rFonts w:hint="eastAsia" w:ascii="宋体" w:hAnsi="宋体"/>
                <w:szCs w:val="21"/>
              </w:rPr>
              <w:t>：口是，口否</w:t>
            </w:r>
          </w:p>
          <w:p w14:paraId="6D04B80C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．研究参与者是否有直接受益前景：口是，口否</w:t>
            </w:r>
          </w:p>
          <w:p w14:paraId="0D743B22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．研究方案采取了相应的措施使风险最小化：口是，口否</w:t>
            </w:r>
          </w:p>
          <w:p w14:paraId="3039D68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．风险受益比合理：口是，口否</w:t>
            </w:r>
          </w:p>
        </w:tc>
      </w:tr>
      <w:tr w14:paraId="29C85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6312FA3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四、研究参与者的选择</w:t>
            </w:r>
          </w:p>
          <w:p w14:paraId="7A86D4E6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．研究参与者的选择是否公平：口是，口否</w:t>
            </w:r>
          </w:p>
          <w:p w14:paraId="358CD753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．研究参与者的选择具有代表性：口是，口否</w:t>
            </w:r>
          </w:p>
          <w:p w14:paraId="41C8E1DB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．招募研究参与者过程是否避免了胁迫和不正当的影响：口是，口否</w:t>
            </w:r>
          </w:p>
          <w:p w14:paraId="0C8A0510">
            <w:pPr>
              <w:pStyle w:val="19"/>
              <w:spacing w:line="360" w:lineRule="auto"/>
              <w:ind w:firstLine="0"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</w:rPr>
              <w:t>．补偿的数量是否合理：口不适用，口是，口否</w:t>
            </w:r>
          </w:p>
        </w:tc>
      </w:tr>
      <w:tr w14:paraId="0BBD3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330D4F6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五、隐私和保密</w:t>
            </w:r>
          </w:p>
          <w:p w14:paraId="2A010B5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方案采取的措施足以保护研究参与者的隐私和数据的机密性：口是，口否</w:t>
            </w:r>
          </w:p>
        </w:tc>
      </w:tr>
      <w:tr w14:paraId="4B85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7968B42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六、如果研究涉及弱势群体</w:t>
            </w:r>
            <w:r>
              <w:rPr>
                <w:rStyle w:val="13"/>
                <w:rFonts w:ascii="宋体" w:hAnsi="宋体"/>
                <w:b/>
                <w:szCs w:val="21"/>
              </w:rPr>
              <w:footnoteReference w:id="1"/>
            </w:r>
            <w:r>
              <w:rPr>
                <w:rFonts w:hint="eastAsia" w:ascii="宋体" w:hAnsi="宋体"/>
                <w:b/>
                <w:szCs w:val="21"/>
              </w:rPr>
              <w:t>，对他们的附加保护（如不涉及，请跳过本部分）</w:t>
            </w:r>
          </w:p>
          <w:p w14:paraId="036B1DA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．纳入弱势群体作为研究参与者的理由是正当与合理的：口是，口否</w:t>
            </w:r>
          </w:p>
          <w:p w14:paraId="7B0EB6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．研究有相应的保护弱势群体研究参与者的措施：口是，口否</w:t>
            </w:r>
          </w:p>
        </w:tc>
      </w:tr>
      <w:tr w14:paraId="444EF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477AD3C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七、如涉及特定疾病人群、特定地区人群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hint="eastAsia" w:ascii="宋体" w:hAnsi="宋体"/>
                <w:b/>
                <w:szCs w:val="21"/>
              </w:rPr>
              <w:t>族群的考虑（如不涉及，请跳过本部分）</w:t>
            </w:r>
          </w:p>
          <w:p w14:paraId="19AB6D8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．考虑该群体特点，采取特殊的措施，确保该群体的权益和健康：口是，口否</w:t>
            </w:r>
          </w:p>
          <w:p w14:paraId="047B056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．该研究能够促进当地的医疗保健与研究能力的发展：口是，口否</w:t>
            </w:r>
          </w:p>
        </w:tc>
      </w:tr>
      <w:tr w14:paraId="08AF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6F4F3C1B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八、如涉及超说明书用药的考虑（如不涉及，请跳过本部分）</w:t>
            </w:r>
          </w:p>
          <w:p w14:paraId="771E761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1．超说明书使用有合理的医学证据支持：口是，口否</w:t>
            </w:r>
          </w:p>
          <w:p w14:paraId="4DF99CF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2．超说明书使用的目的是为了研究参与者的利益：口是，口否</w:t>
            </w:r>
          </w:p>
          <w:p w14:paraId="21A807C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3．超说明书用药时，充分考虑药品不良反应、禁忌证、注意事项等，权衡研究参与者获得的利益和可能带来的风险，保证该药物治疗方案是最佳方案，以保障研究参与者利益最大化：口是，口否</w:t>
            </w:r>
          </w:p>
          <w:p w14:paraId="253502D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4．超说明书使用时，有完善的</w:t>
            </w:r>
            <w:r>
              <w:rPr>
                <w:rFonts w:ascii="宋体" w:hAnsi="宋体"/>
                <w:szCs w:val="21"/>
              </w:rPr>
              <w:t>应急预案</w:t>
            </w:r>
            <w:r>
              <w:rPr>
                <w:rFonts w:hint="eastAsia" w:ascii="宋体" w:hAnsi="宋体"/>
                <w:szCs w:val="21"/>
              </w:rPr>
              <w:t>：口是，口否</w:t>
            </w:r>
          </w:p>
        </w:tc>
      </w:tr>
      <w:tr w14:paraId="56E7A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720429B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九、审查意见</w:t>
            </w:r>
          </w:p>
          <w:p w14:paraId="3B705EF3">
            <w:pPr>
              <w:spacing w:line="360" w:lineRule="auto"/>
              <w:ind w:left="5250" w:leftChars="2500"/>
              <w:rPr>
                <w:rFonts w:ascii="宋体" w:hAnsi="宋体"/>
                <w:szCs w:val="21"/>
              </w:rPr>
            </w:pPr>
          </w:p>
          <w:p w14:paraId="5BCA5CA8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14:paraId="1A0F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23A4B5F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口提交会议报告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口提交会议审查（口需聘请独立顾问，口无需聘请独立顾问）</w:t>
            </w:r>
          </w:p>
        </w:tc>
      </w:tr>
      <w:tr w14:paraId="2EBB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3"/>
          </w:tcPr>
          <w:p w14:paraId="6B5209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口同意，口作必要修正后同意（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hint="eastAsia" w:ascii="宋体" w:hAnsi="宋体"/>
                <w:szCs w:val="21"/>
              </w:rPr>
              <w:t>简易程序审查，</w:t>
            </w:r>
            <w:r>
              <w:rPr>
                <w:rFonts w:ascii="宋体" w:hAnsi="宋体"/>
                <w:szCs w:val="21"/>
              </w:rPr>
              <w:t>口</w:t>
            </w:r>
            <w:r>
              <w:rPr>
                <w:rFonts w:hint="eastAsia" w:ascii="宋体" w:hAnsi="宋体"/>
                <w:szCs w:val="21"/>
              </w:rPr>
              <w:t>会审），口不同意</w:t>
            </w:r>
          </w:p>
        </w:tc>
      </w:tr>
      <w:tr w14:paraId="09FD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 w14:paraId="618527D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跟踪审查频率</w:t>
            </w:r>
          </w:p>
        </w:tc>
        <w:tc>
          <w:tcPr>
            <w:tcW w:w="6435" w:type="dxa"/>
            <w:gridSpan w:val="2"/>
          </w:tcPr>
          <w:p w14:paraId="69A0A02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口 3个月，口 6个月，口 </w:t>
            </w:r>
            <w:r>
              <w:rPr>
                <w:rFonts w:hint="eastAsia" w:ascii="宋体" w:hAnsi="宋体"/>
                <w:szCs w:val="21"/>
              </w:rPr>
              <w:t>12个月</w:t>
            </w:r>
            <w:r>
              <w:rPr>
                <w:rFonts w:ascii="宋体" w:hAnsi="宋体"/>
                <w:szCs w:val="21"/>
              </w:rPr>
              <w:t>，其他 ____个月</w:t>
            </w:r>
          </w:p>
        </w:tc>
      </w:tr>
      <w:tr w14:paraId="545E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 w14:paraId="2B89C78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主审委员声明</w:t>
            </w:r>
          </w:p>
        </w:tc>
        <w:tc>
          <w:tcPr>
            <w:tcW w:w="6435" w:type="dxa"/>
            <w:gridSpan w:val="2"/>
            <w:vAlign w:val="bottom"/>
          </w:tcPr>
          <w:p w14:paraId="6C35DC1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作为审查人员，我与该项目之间不存在相关的利益冲突</w:t>
            </w:r>
          </w:p>
        </w:tc>
      </w:tr>
      <w:tr w14:paraId="79AA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 w14:paraId="23102FE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主审委员签名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6435" w:type="dxa"/>
            <w:gridSpan w:val="2"/>
          </w:tcPr>
          <w:p w14:paraId="7C10EFA3">
            <w:pPr>
              <w:spacing w:line="360" w:lineRule="auto"/>
              <w:ind w:left="5250" w:leftChars="2500"/>
              <w:rPr>
                <w:rFonts w:ascii="宋体" w:hAnsi="宋体"/>
                <w:szCs w:val="21"/>
              </w:rPr>
            </w:pPr>
          </w:p>
        </w:tc>
      </w:tr>
    </w:tbl>
    <w:p w14:paraId="3D31E85F"/>
    <w:p w14:paraId="56FC30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陈仁国" w:date="2024-07-29T10:26:00Z" w:initials="L">
    <w:p w14:paraId="745D32C7">
      <w:pPr>
        <w:pStyle w:val="3"/>
      </w:pPr>
      <w:r>
        <w:t>方案主审表请双面打印</w:t>
      </w:r>
    </w:p>
  </w:comment>
  <w:comment w:id="1" w:author="陈仁国" w:date="2024-07-29T10:29:00Z" w:initials="L">
    <w:p w14:paraId="7422FC08">
      <w:pPr>
        <w:pStyle w:val="3"/>
      </w:pPr>
      <w:r>
        <w:t>项目名称、负责人</w:t>
      </w:r>
      <w:r>
        <w:rPr>
          <w:rFonts w:hint="eastAsia"/>
        </w:rPr>
        <w:t>/科室必填，其余内容不填，正式打印时请删除所有批注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45D32C7" w15:done="0"/>
  <w15:commentEx w15:paraId="7422FC0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4B422779">
      <w:pPr>
        <w:pStyle w:val="8"/>
      </w:pPr>
      <w:r>
        <w:rPr>
          <w:rStyle w:val="13"/>
        </w:rPr>
        <w:footnoteRef/>
      </w:r>
      <w:r>
        <w:rPr>
          <w:rFonts w:hint="eastAsia" w:ascii="宋体" w:hAnsi="宋体"/>
          <w:bCs/>
          <w:szCs w:val="21"/>
        </w:rPr>
        <w:t>最小风险：</w:t>
      </w:r>
      <w:r>
        <w:rPr>
          <w:rFonts w:hint="eastAsia"/>
        </w:rPr>
        <w:t>是指试验风险的可能性和程度不大于日常生活、或对研究参与者进行常规体格检查或心理测试的风险。一般而言，药物临床试验、医疗器械临床试验的初始审查都不是最小风险</w:t>
      </w:r>
    </w:p>
  </w:footnote>
  <w:footnote w:id="1">
    <w:p w14:paraId="47033D97">
      <w:pPr>
        <w:pStyle w:val="8"/>
      </w:pPr>
      <w:r>
        <w:rPr>
          <w:rStyle w:val="13"/>
        </w:rPr>
        <w:footnoteRef/>
      </w:r>
      <w:r>
        <w:rPr>
          <w:rFonts w:hint="eastAsia"/>
        </w:rPr>
        <w:t>弱势群体：相对地（或绝对地）没有能力维护自身利益的人，通常是指那些能力或自由受到限制而无法给予同意或拒绝同意的人，包括儿童，因精神障碍而不能给予知情同意的人等。</w:t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仁国">
    <w15:presenceInfo w15:providerId="None" w15:userId="陈仁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BCF"/>
    <w:rsid w:val="001A262C"/>
    <w:rsid w:val="00214BA3"/>
    <w:rsid w:val="00486022"/>
    <w:rsid w:val="00520880"/>
    <w:rsid w:val="008D2A0B"/>
    <w:rsid w:val="00B40BCF"/>
    <w:rsid w:val="00CC7ED0"/>
    <w:rsid w:val="00DF4EFA"/>
    <w:rsid w:val="6DA1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0"/>
    <w:pPr>
      <w:keepNext/>
      <w:keepLines/>
      <w:spacing w:line="520" w:lineRule="exact"/>
      <w:jc w:val="center"/>
      <w:outlineLvl w:val="1"/>
    </w:pPr>
    <w:rPr>
      <w:rFonts w:ascii="Cambria" w:hAnsi="Cambria" w:eastAsia="Times New Roman"/>
      <w:bCs/>
      <w:sz w:val="24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4">
    <w:name w:val="Plain Text"/>
    <w:basedOn w:val="1"/>
    <w:link w:val="17"/>
    <w:qFormat/>
    <w:uiPriority w:val="0"/>
    <w:pPr>
      <w:widowControl/>
      <w:jc w:val="left"/>
    </w:pPr>
    <w:rPr>
      <w:rFonts w:ascii="Courier New" w:hAnsi="Courier New"/>
      <w:kern w:val="0"/>
      <w:sz w:val="20"/>
      <w:lang w:eastAsia="en-US"/>
    </w:rPr>
  </w:style>
  <w:style w:type="paragraph" w:styleId="5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footnote text"/>
    <w:basedOn w:val="1"/>
    <w:link w:val="18"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annotation subject"/>
    <w:basedOn w:val="3"/>
    <w:next w:val="3"/>
    <w:link w:val="21"/>
    <w:semiHidden/>
    <w:unhideWhenUsed/>
    <w:uiPriority w:val="99"/>
    <w:rPr>
      <w:b/>
      <w:bCs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styleId="13">
    <w:name w:val="footnote reference"/>
    <w:qFormat/>
    <w:uiPriority w:val="99"/>
    <w:rPr>
      <w:rFonts w:cs="Times New Roman"/>
      <w:vertAlign w:val="superscript"/>
    </w:rPr>
  </w:style>
  <w:style w:type="character" w:customStyle="1" w:styleId="14">
    <w:name w:val="页眉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页脚 Char"/>
    <w:basedOn w:val="11"/>
    <w:link w:val="6"/>
    <w:semiHidden/>
    <w:qFormat/>
    <w:uiPriority w:val="99"/>
    <w:rPr>
      <w:sz w:val="18"/>
      <w:szCs w:val="18"/>
    </w:rPr>
  </w:style>
  <w:style w:type="character" w:customStyle="1" w:styleId="16">
    <w:name w:val="标题 2 Char"/>
    <w:basedOn w:val="11"/>
    <w:link w:val="2"/>
    <w:qFormat/>
    <w:uiPriority w:val="0"/>
    <w:rPr>
      <w:rFonts w:ascii="Cambria" w:hAnsi="Cambria" w:eastAsia="Times New Roman" w:cs="Times New Roman"/>
      <w:bCs/>
      <w:sz w:val="24"/>
      <w:szCs w:val="32"/>
    </w:rPr>
  </w:style>
  <w:style w:type="character" w:customStyle="1" w:styleId="17">
    <w:name w:val="纯文本 Char"/>
    <w:basedOn w:val="11"/>
    <w:link w:val="4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8">
    <w:name w:val="脚注文本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9">
    <w:name w:val="列出段落1"/>
    <w:basedOn w:val="1"/>
    <w:qFormat/>
    <w:uiPriority w:val="99"/>
    <w:pPr>
      <w:ind w:firstLine="420" w:firstLineChars="200"/>
    </w:pPr>
    <w:rPr>
      <w:szCs w:val="24"/>
    </w:rPr>
  </w:style>
  <w:style w:type="character" w:customStyle="1" w:styleId="20">
    <w:name w:val="批注文字 Char"/>
    <w:basedOn w:val="11"/>
    <w:link w:val="3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1">
    <w:name w:val="批注主题 Char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Char"/>
    <w:basedOn w:val="11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1044</Words>
  <Characters>1066</Characters>
  <Lines>8</Lines>
  <Paragraphs>2</Paragraphs>
  <TotalTime>0</TotalTime>
  <ScaleCrop>false</ScaleCrop>
  <LinksUpToDate>false</LinksUpToDate>
  <CharactersWithSpaces>1075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2024-07-29T02:12:00Z</dcterms:created>
  <dc:creator>陈仁国</dc:creator>
  <cp:lastModifiedBy>张小婉</cp:lastModifiedBy>
  <dcterms:modified xsi:type="dcterms:W3CDTF">2025-05-15T09:29:31Z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eyJoZGlkIjoiY2U4NjY5MzY2YjJiNGI2ZTUwODM4MzgzODRjZjFkN2UiLCJ1c2VySWQiOiI0MDIzNjg0MDAifQ==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72D8C5BBFC9C4DE5A489BB50A9CB0305_12</vt:lpwstr>
  </property>
</Properties>
</file>